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Surprise candle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rue de la clef des champs</w:t>
              <w:br/>
              <w:t>68600</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P501 - Dispose of contents/container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3,7-dimethylnona-1,6-dien-3-ol, alpha-iso-methylionone, citronellol, linalyl acetate, benzyl salicylate, 1-(1,2,3,4,5,6,7,8-octahydro-2,3,8,8-tetramethyl-2-naphthyl)ethan-1-one, acetyl cedrene, cashmeran, benzyl alcohol.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F82798" w:rsidRPr="0069446B" w:rsidP="00A727C2" w14:paraId="2F7B68FE" w14:textId="77777777">
      <w:pPr>
        <w:pStyle w:val="SDSTextNormal"/>
      </w:pPr>
      <w:bookmarkStart w:id="0"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Component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not meeting the PBT criteria of REACH regulation, in accordance with Annex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not meeting the vPvB criteria of REACH regulation, in accordance with Annex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1"/>
    </w:tbl>
    <w:p w:rsidR="00B072A8" w:rsidRPr="0069446B" w:rsidP="00B072A8" w14:paraId="7788D936" w14:textId="77777777">
      <w:pPr>
        <w:pStyle w:val="SDSTextBlankLine"/>
      </w:pPr>
    </w:p>
    <w:bookmarkEnd w:id="0"/>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214-946-9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(ATE=1580 mg/kg bodyweight)</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acetyl 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32388-55-9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251-020-3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10339-55-6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isocamphenyl cyclohexanol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105-95-3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203-347-8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cashmeran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33704-61-9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251-649-3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br/>
              <w:t>Aquatic Chronic 2, H411</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10937A85" w14:textId="5AA90417">
            <w:pPr>
              <w:pStyle w:val="SDSTableTextNormal"/>
              <w:bidi w:val="0"/>
              <w:rPr>
                <w:noProof w:val="0"/>
                <w:rtl w:val="0"/>
              </w:rPr>
            </w:pPr>
            <w:r w:rsidRPr="0069446B">
              <w:rPr>
                <w:noProof w:val="0"/>
                <w:rtl w:val="0"/>
              </w:rPr>
              <w:t>Not available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Cyprus. Orange. Powdered.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bodyweight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bodyweight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acetyl cedrene (32388-55-9)</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bodyweight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cashmeran (33704-61-9)</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2685 mg/kg bodyweight Animal: rat, Animal sex: female, Guideline: OECD Guideline 401 (Acute Oral Toxicity), 95% CL: 2043 - 3529</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bodyweight Animal: mouse, Guideline: OECD Guideline 401 (Acute Oral Toxicity), 95% CL: 1410 - 1770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bodyweight Animal: rabbit, Guideline: EPA OTS 798.1100 (Acute Dermal Toxicity)</w:t>
            </w:r>
          </w:p>
        </w:tc>
      </w:tr>
      <w:tr w14:paraId="05EDDE1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isocamphenyl cyclohexanol (105-95-3)</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5000 mg/kg bodyweight Animal: rat</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cashmeran (33704-61-9)</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150 mg/kg bodyweight Animal: rat, Animal sex: male, Guideline: OECD Guideline 421 (Reproduction / Developmental Toxicity Screening Test)</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1875 mg/kg bodyweight Animal: rat, Animal sex: female, Guideline: OECD Guideline 421 (Reproduction / Developmental Toxicity Screening Test)</w:t>
            </w:r>
          </w:p>
        </w:tc>
      </w:tr>
      <w:tr w14:paraId="7F80DA22"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ABE7414" w14:textId="39CCFB47">
            <w:pPr>
              <w:pStyle w:val="SDSTableTextNormal"/>
              <w:rPr>
                <w:noProof w:val="0"/>
              </w:rPr>
            </w:pPr>
            <w:r w:rsidRPr="0069446B" w:rsidR="00FA7F7F">
              <w:rPr>
                <w:noProof/>
              </w:rPr>
              <w:t>NOAEL (animal/male,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777F1B7" w14:textId="10B7482F">
            <w:pPr>
              <w:pStyle w:val="SDSTableTextNormal"/>
              <w:rPr>
                <w:noProof w:val="0"/>
              </w:rPr>
            </w:pPr>
            <w:r w:rsidRPr="0069446B">
              <w:rPr>
                <w:noProof/>
              </w:rPr>
              <w:t>1875 mg/kg bodyweight Animal: rat, Animal sex: male, Guideline: OECD Guideline 421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bodyweight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acetyl cedrene (32388-55-9)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80 mg/kg bodyweight Animal: rat, Guideline: OECD Guideline 408 (Repeated Dose 90-Day Oral Toxicity Study in Rodents)</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cashmeran (33704-61-9)</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 mg/kg bodyweight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bodyweight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isocamphenyl cyclohexanol (105-95-3)</w:t>
            </w:r>
          </w:p>
        </w:tc>
      </w:tr>
      <w:tr w14:paraId="07CBBCD9"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Surprise candle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acetyl cedrene (32388-55-9)</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38.25 mm²/s Temp.: '20°C' </w:t>
            </w:r>
            <w:r w:rsidRPr="0069446B">
              <w:rPr>
                <w:rFonts w:hint="eastAsia"/>
                <w:noProof/>
                <w:lang w:eastAsia="ja-JP"/>
              </w:rPr>
              <w:t>Parameter: 'kinematic viscosity (in mm²/s)'</w:t>
            </w:r>
          </w:p>
        </w:tc>
      </w:tr>
    </w:tbl>
    <w:p w:rsidR="008A1716" w:rsidRPr="0069446B" w:rsidP="008A1716" w14:textId="37E73D92">
      <w:pPr>
        <w:pStyle w:val="SDSTextBlankLine"/>
      </w:pPr>
    </w:p>
    <w:tbl>
      <w:tblPr>
        <w:tblStyle w:val="SDSTableWithBordersWithHeaderRow"/>
        <w:tblW w:w="10489" w:type="dxa"/>
        <w:tblLayout w:type="fixed"/>
        <w:tblLook w:val="0020"/>
      </w:tblPr>
      <w:tblGrid>
        <w:gridCol w:w="3969"/>
        <w:gridCol w:w="6520"/>
      </w:tblGrid>
      <w:tr w14:paraId="6A02886D"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textId="5AAB9112">
            <w:pPr>
              <w:pStyle w:val="SDSTableTextHeading1"/>
              <w:rPr>
                <w:noProof w:val="0"/>
                <w:color w:val="auto"/>
              </w:rPr>
            </w:pPr>
            <w:r w:rsidRPr="0069446B" w:rsidR="00FA7F7F">
              <w:rPr>
                <w:noProof/>
                <w:color w:val="auto"/>
              </w:rPr>
              <w:t>benzyl alcohol (100-51-6)</w:t>
            </w:r>
          </w:p>
        </w:tc>
      </w:tr>
      <w:tr w14:paraId="1484F7D0"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 on other hazards</w:t>
      </w:r>
      <w:bookmarkEnd w:id="2"/>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acetyl cedrene (32388-55-9)</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 mg/l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3 mg/l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0.86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2.8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&gt; 4.3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0.23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0.087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cashmeran (33704-61-9)</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1.7 mg/l Test organisms (species): Oryzias latipes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1.5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76.828 mg/l Test organisms (species): other:</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isocamphenyl cyclohexanol (105-95-3)</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1.23 mg/l Test organisms (species): Danio rerio (previous name: Brachydanio rerio)</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2.13 mg/l Test organisms (species): Danio rerio (previous name: Brachydanio rerio)</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6.94 mg/l Test organisms (species): Desmodesmus subspicatus (previous name: Scenedesmus subspicatus)</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14.579 mg/l Test organisms (species): Desmodesmus subspicatus (previous name: Scenedesmus subspicatus)</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0.788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Surprise candle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3,7-dimethylnona-1,6-dien-3-ol (10339-55-6)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1,3,4,6,7,8-hexahydro-4,6,6,7,8,8-hexamethylindeno[5,6-c]pyran (1222-05-5)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acetyl cedrene (32388-55-9)</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cashmeran (33704-61-9)</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isocamphenyl cyclohexanol (105-95-3)</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Component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not meeting the PBT criteria of REACH regulation, in accordance with Annex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not meeting the vPvB criteria of REACH regulation, in accordance with Annex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3"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linalyl acetate ; acetyl cedrene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1,3,4,6,7,8-hexahydro-4,6,6,7,8,8-hexamethylindeno[5,6-c]pyran ; acetyl cedrene ; isocamphenyl cyclohexanol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3,7-dimethylnona-1,6-dien-3-ol, alpha-iso-methylionone, citronellol, linalyl acetate, benzyl salicylate, 1-(1,2,3,4,5,6,7,8-octahydro-2,3,8,8-tetramethyl-2-naphthyl)ethan-1-one, acetyl cedrene, cashmeran, benzyl alcohol.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3/23/2026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3/23/2026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Surprise candle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bottom w:val="single" w:sz="4" w:space="0" w:color="0070C0"/>
      </w:tblBorders>
      <w:tblLayout w:type="fixed"/>
      <w:tblCellMar>
        <w:left w:w="0" w:type="dxa"/>
        <w:bottom w:w="57" w:type="dxa"/>
        <w:right w:w="0" w:type="dxa"/>
      </w:tblCellMar>
      <w:tblLook w:val="04A0"/>
    </w:tblPr>
    <w:tblGrid>
      <w:gridCol w:w="2948"/>
      <w:gridCol w:w="4535"/>
      <w:gridCol w:w="3005"/>
    </w:tblGrid>
    <w:tr w14:paraId="48CF5240" w14:textId="77777777" w:rsidTr="008F5B08">
      <w:tblPrEx>
        <w:tblW w:w="10488" w:type="dxa"/>
        <w:tblBorders>
          <w:bottom w:val="single" w:sz="4" w:space="0" w:color="0070C0"/>
        </w:tblBorders>
        <w:tblLayout w:type="fixed"/>
        <w:tblCellMar>
          <w:left w:w="0" w:type="dxa"/>
          <w:bottom w:w="57" w:type="dxa"/>
          <w:right w:w="0" w:type="dxa"/>
        </w:tblCellMar>
        <w:tblLook w:val="04A0"/>
      </w:tblPrEx>
      <w:trPr>
        <w:trHeight w:val="20"/>
      </w:trPr>
      <w:tc>
        <w:tcPr>
          <w:tcW w:w="2948" w:type="dxa"/>
          <w:vMerge w:val="restart"/>
          <w:tcBorders>
            <w:top w:val="none" w:sz="0" w:space="0" w:color="000000"/>
            <w:left w:val="none" w:sz="0" w:space="0" w:color="000000"/>
            <w:bottom w:val="none" w:sz="0" w:space="0" w:color="000000"/>
            <w:right w:val="none" w:sz="0" w:space="0" w:color="000000"/>
          </w:tcBorders>
        </w:tcPr>
        <w:p w:rsidR="009C6C12" w:rsidRPr="00DB1125" w:rsidP="00DB1125" w14:paraId="2F81A3AB" w14:textId="70304125">
          <w:pPr>
            <w:pStyle w:val="SDSTableTextHeader"/>
          </w:pPr>
          <w:r>
            <w:drawing>
              <wp:inline>
                <wp:extent cx="1714500" cy="624078"/>
                <wp:docPr id="100001"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1"/>
                        <a:stretch>
                          <a:fillRect/>
                        </a:stretch>
                      </pic:blipFill>
                      <pic:spPr>
                        <a:xfrm>
                          <a:off x="0" y="0"/>
                          <a:ext cx="1714500" cy="624078"/>
                        </a:xfrm>
                        <a:prstGeom prst="rect">
                          <a:avLst/>
                        </a:prstGeom>
                      </pic:spPr>
                    </pic:pic>
                  </a:graphicData>
                </a:graphic>
              </wp:inline>
            </w:drawing>
          </w:r>
        </w:p>
      </w:tc>
      <w:tc>
        <w:tcPr>
          <w:tcW w:w="7540" w:type="dxa"/>
          <w:gridSpan w:val="2"/>
          <w:tcBorders>
            <w:top w:val="none" w:sz="0" w:space="0" w:color="000000"/>
            <w:left w:val="none" w:sz="0" w:space="0" w:color="000000"/>
            <w:bottom w:val="nil"/>
            <w:right w:val="none" w:sz="0" w:space="0" w:color="000000"/>
          </w:tcBorders>
          <w:tcMar>
            <w:left w:w="0" w:type="dxa"/>
          </w:tcMar>
        </w:tcPr>
        <w:p w:rsidR="009C6C12" w:rsidRPr="008F5B08" w:rsidP="008F5B08" w14:paraId="1B70934B" w14:textId="4DAE3794">
          <w:pPr>
            <w:pStyle w:val="SDSTableTextHeader"/>
            <w:rPr>
              <w:b/>
              <w:sz w:val="32"/>
              <w:szCs w:val="32"/>
            </w:rPr>
          </w:pPr>
          <w:r>
            <w:rPr>
              <w:b/>
              <w:noProof/>
              <w:sz w:val="32"/>
              <w:szCs w:val="32"/>
            </w:rPr>
            <w:t>Surprise candle 10%</w:t>
          </w:r>
        </w:p>
      </w:tc>
    </w:tr>
    <w:tr w14:paraId="7D50F31A"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none" w:sz="0" w:space="0" w:color="000000"/>
            <w:right w:val="none" w:sz="0" w:space="0" w:color="000000"/>
          </w:tcBorders>
        </w:tcPr>
        <w:p w:rsidR="009C6C12" w:rsidP="00DB1125" w14:paraId="54934F52" w14:textId="77777777">
          <w:pPr>
            <w:pStyle w:val="SDSTableTextHeader"/>
          </w:pPr>
        </w:p>
      </w:tc>
      <w:tc>
        <w:tcPr>
          <w:tcW w:w="4535" w:type="dxa"/>
          <w:tcBorders>
            <w:top w:val="none" w:sz="0" w:space="0" w:color="000000"/>
            <w:left w:val="none" w:sz="0" w:space="0" w:color="000000"/>
            <w:bottom w:val="nil"/>
            <w:right w:val="none" w:sz="0" w:space="0" w:color="000000"/>
          </w:tcBorders>
          <w:tcMar>
            <w:left w:w="0" w:type="dxa"/>
          </w:tcMar>
        </w:tcPr>
        <w:p w:rsidR="009C6C12" w:rsidP="00DB1125" w14:paraId="3256D01C" w14:textId="2272BE3F">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8F5B08" w14:paraId="45A8F1CC" w14:textId="64A3CD0E">
          <w:pPr>
            <w:pStyle w:val="SDSTableTextHeader"/>
            <w:jc w:val="right"/>
            <w:rPr>
              <w:b/>
              <w:color w:val="FF0000"/>
              <w:sz w:val="24"/>
              <w:szCs w:val="24"/>
            </w:rPr>
          </w:pPr>
        </w:p>
      </w:tc>
    </w:tr>
    <w:tr w14:paraId="2CED3BEE"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single" w:sz="4" w:space="0" w:color="000000"/>
            <w:right w:val="none" w:sz="0" w:space="0" w:color="000000"/>
          </w:tcBorders>
        </w:tcPr>
        <w:p w:rsidR="009C6C12" w:rsidP="00DB1125" w14:paraId="258B1E0A" w14:textId="77777777">
          <w:pPr>
            <w:pStyle w:val="SDSTableTextHeader"/>
          </w:pPr>
        </w:p>
      </w:tc>
      <w:tc>
        <w:tcPr>
          <w:tcW w:w="7540" w:type="dxa"/>
          <w:gridSpan w:val="2"/>
          <w:tcBorders>
            <w:top w:val="nil"/>
            <w:left w:val="none" w:sz="0" w:space="0" w:color="000000"/>
            <w:bottom w:val="single" w:sz="4" w:space="0" w:color="000000"/>
            <w:right w:val="none" w:sz="0" w:space="0" w:color="000000"/>
          </w:tcBorders>
          <w:tcMar>
            <w:left w:w="0" w:type="dxa"/>
          </w:tcMar>
        </w:tcPr>
        <w:p w:rsidR="009C6C12" w:rsidRPr="00A6053A" w:rsidP="008F5B08" w14:paraId="650C2731" w14:textId="5DC8054E">
          <w:pPr>
            <w:pStyle w:val="SDSTableTextHeader"/>
            <w:rPr>
              <w:lang w:val="fr-BE"/>
            </w:rPr>
          </w:pPr>
          <w:r w:rsidRPr="00A6053A">
            <w:rPr>
              <w:noProof/>
              <w:lang w:val="fr-BE"/>
            </w:rPr>
            <w:t>according to the REACH Regulation (EC) 1907/2006 amended by Regulation (EU) 2020/878</w:t>
          </w:r>
        </w:p>
        <w:p w:rsidR="009C6C12" w:rsidRPr="008F5B08" w:rsidP="008F5B08" w14:paraId="31267F45" w14:textId="67A5CBF0">
          <w:pPr>
            <w:pStyle w:val="SDSTableTextHeader"/>
          </w:pPr>
          <w:r>
            <w:rPr>
              <w:noProof/>
            </w:rPr>
            <w:t>Issue date: 3/23/2026   Version: 1.0</w:t>
          </w:r>
        </w:p>
      </w:tc>
    </w:tr>
    <w:tr w14:paraId="0930DE40" w14:textId="77777777" w:rsidTr="00AE7B57">
      <w:tblPrEx>
        <w:tblW w:w="10488" w:type="dxa"/>
        <w:tblLayout w:type="fixed"/>
        <w:tblCellMar>
          <w:left w:w="0" w:type="dxa"/>
          <w:bottom w:w="57" w:type="dxa"/>
          <w:right w:w="0" w:type="dxa"/>
        </w:tblCellMar>
        <w:tblLook w:val="04A0"/>
      </w:tblPrEx>
      <w:trPr>
        <w:trHeight w:val="57"/>
      </w:trPr>
      <w:tc>
        <w:tcPr>
          <w:tcW w:w="2948" w:type="dxa"/>
          <w:tcBorders>
            <w:top w:val="single" w:sz="4" w:space="0" w:color="000000"/>
            <w:left w:val="none" w:sz="0" w:space="0" w:color="000000"/>
            <w:bottom w:val="nil"/>
            <w:right w:val="none" w:sz="0" w:space="0" w:color="000000"/>
          </w:tcBorders>
        </w:tcPr>
        <w:p w:rsidR="009C6C12" w:rsidRPr="00371194" w:rsidP="00371194" w14:paraId="2420E657" w14:textId="77777777">
          <w:pPr>
            <w:pStyle w:val="SDSTextBlankLine"/>
          </w:pPr>
        </w:p>
      </w:tc>
      <w:tc>
        <w:tcPr>
          <w:tcW w:w="7540" w:type="dxa"/>
          <w:gridSpan w:val="2"/>
          <w:tcBorders>
            <w:top w:val="single" w:sz="4" w:space="0" w:color="000000"/>
            <w:left w:val="none" w:sz="0" w:space="0" w:color="000000"/>
            <w:bottom w:val="nil"/>
            <w:right w:val="none" w:sz="0" w:space="0" w:color="000000"/>
          </w:tcBorders>
          <w:tcMar>
            <w:left w:w="0" w:type="dxa"/>
          </w:tcMar>
        </w:tcPr>
        <w:p w:rsidR="009C6C12" w:rsidRPr="00371194" w:rsidP="00371194" w14:paraId="1D31590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83825911-514F-42DD-9037-97900579767E}"/>
</file>

<file path=customXml/itemProps3.xml><?xml version="1.0" encoding="utf-8"?>
<ds:datastoreItem xmlns:ds="http://schemas.openxmlformats.org/officeDocument/2006/customXml" ds:itemID="{77EA8B2F-964C-4009-9A29-38CBFC3CBB45}"/>
</file>

<file path=customXml/itemProps4.xml><?xml version="1.0" encoding="utf-8"?>
<ds:datastoreItem xmlns:ds="http://schemas.openxmlformats.org/officeDocument/2006/customXml" ds:itemID="{F3F244DE-2897-416A-8D57-CF6FE0F51692}"/>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